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1E5" w:rsidRDefault="001521E5" w:rsidP="001521E5">
      <w:pPr>
        <w:jc w:val="center"/>
        <w:rPr>
          <w:rFonts w:ascii="Candara" w:hAnsi="Candara" w:cs="Times New Roman"/>
          <w:b/>
          <w:smallCaps/>
          <w:sz w:val="24"/>
          <w:szCs w:val="24"/>
        </w:rPr>
      </w:pPr>
      <w:bookmarkStart w:id="0" w:name="_GoBack"/>
      <w:bookmarkEnd w:id="0"/>
      <w:r>
        <w:rPr>
          <w:rFonts w:ascii="Candara" w:hAnsi="Candara" w:cs="Times New Roman"/>
          <w:b/>
          <w:smallCaps/>
          <w:sz w:val="24"/>
          <w:szCs w:val="24"/>
        </w:rPr>
        <w:t xml:space="preserve">Colloquium </w:t>
      </w:r>
    </w:p>
    <w:p w:rsidR="001521E5" w:rsidRPr="001521E5" w:rsidRDefault="001521E5" w:rsidP="001521E5">
      <w:pPr>
        <w:jc w:val="center"/>
        <w:rPr>
          <w:rFonts w:ascii="Candara" w:hAnsi="Candara" w:cs="Times New Roman"/>
          <w:b/>
          <w:smallCaps/>
          <w:sz w:val="20"/>
          <w:szCs w:val="24"/>
        </w:rPr>
      </w:pPr>
      <w:r w:rsidRPr="001521E5">
        <w:rPr>
          <w:rFonts w:ascii="Candara" w:hAnsi="Candara" w:cs="Times New Roman"/>
          <w:b/>
          <w:smallCaps/>
          <w:sz w:val="20"/>
          <w:szCs w:val="24"/>
        </w:rPr>
        <w:t xml:space="preserve">Family Fortunes: </w:t>
      </w:r>
    </w:p>
    <w:p w:rsidR="001521E5" w:rsidRPr="001521E5" w:rsidRDefault="001521E5" w:rsidP="001521E5">
      <w:pPr>
        <w:jc w:val="center"/>
        <w:rPr>
          <w:rFonts w:ascii="Candara" w:hAnsi="Candara" w:cs="Times New Roman"/>
          <w:b/>
          <w:smallCaps/>
          <w:sz w:val="20"/>
          <w:szCs w:val="24"/>
        </w:rPr>
      </w:pPr>
      <w:r w:rsidRPr="001521E5">
        <w:rPr>
          <w:rFonts w:ascii="Candara" w:hAnsi="Candara" w:cs="Times New Roman"/>
          <w:b/>
          <w:smallCaps/>
          <w:sz w:val="20"/>
          <w:szCs w:val="24"/>
        </w:rPr>
        <w:t>Through the keyhole glimpse of urban elite Formation in Dadaocheng and Deptford.</w:t>
      </w:r>
    </w:p>
    <w:p w:rsidR="001521E5" w:rsidRDefault="001521E5" w:rsidP="001521E5">
      <w:pPr>
        <w:rPr>
          <w:rFonts w:ascii="Candara" w:hAnsi="Candara" w:cs="Times New Roman"/>
          <w:sz w:val="24"/>
          <w:szCs w:val="24"/>
        </w:rPr>
      </w:pPr>
    </w:p>
    <w:p w:rsidR="001521E5" w:rsidRDefault="001521E5" w:rsidP="001521E5">
      <w:pPr>
        <w:rPr>
          <w:rFonts w:ascii="Candara" w:hAnsi="Candara" w:cs="Times New Roman"/>
          <w:smallCaps/>
          <w:sz w:val="20"/>
          <w:szCs w:val="24"/>
        </w:rPr>
      </w:pPr>
      <w:r>
        <w:rPr>
          <w:rFonts w:ascii="Candara" w:hAnsi="Candara" w:cs="Times New Roman"/>
          <w:smallCaps/>
          <w:sz w:val="20"/>
          <w:szCs w:val="24"/>
        </w:rPr>
        <w:t>Speaker: Dr Niki Alsford (oriental Institute, Czech Academy of Sciences)</w:t>
      </w:r>
    </w:p>
    <w:p w:rsidR="001521E5" w:rsidRDefault="001521E5" w:rsidP="001521E5">
      <w:pPr>
        <w:rPr>
          <w:rFonts w:ascii="Candara" w:hAnsi="Candara" w:cs="Times New Roman"/>
          <w:smallCaps/>
          <w:sz w:val="20"/>
          <w:szCs w:val="24"/>
        </w:rPr>
      </w:pPr>
      <w:r>
        <w:rPr>
          <w:rFonts w:ascii="Candara" w:hAnsi="Candara" w:cs="Times New Roman"/>
          <w:smallCaps/>
          <w:sz w:val="20"/>
          <w:szCs w:val="24"/>
        </w:rPr>
        <w:t>Discussant: Dr Christopher Gerties (SOAS, the University of London)</w:t>
      </w:r>
    </w:p>
    <w:p w:rsidR="001521E5" w:rsidRDefault="001521E5" w:rsidP="001521E5">
      <w:pPr>
        <w:rPr>
          <w:rFonts w:ascii="Candara" w:hAnsi="Candara" w:cs="Times New Roman"/>
          <w:smallCaps/>
          <w:sz w:val="20"/>
          <w:szCs w:val="24"/>
        </w:rPr>
      </w:pPr>
      <w:r>
        <w:rPr>
          <w:rFonts w:ascii="Candara" w:hAnsi="Candara" w:cs="Times New Roman"/>
          <w:smallCaps/>
          <w:sz w:val="20"/>
          <w:szCs w:val="24"/>
        </w:rPr>
        <w:t>Location: John Fairbank Library</w:t>
      </w:r>
    </w:p>
    <w:p w:rsidR="001521E5" w:rsidRDefault="001521E5" w:rsidP="001521E5">
      <w:pPr>
        <w:rPr>
          <w:rFonts w:ascii="Candara" w:hAnsi="Candara" w:cs="Times New Roman"/>
          <w:smallCaps/>
          <w:sz w:val="20"/>
          <w:szCs w:val="24"/>
        </w:rPr>
      </w:pPr>
      <w:r>
        <w:rPr>
          <w:rFonts w:ascii="Candara" w:hAnsi="Candara" w:cs="Times New Roman"/>
          <w:smallCaps/>
          <w:sz w:val="20"/>
          <w:szCs w:val="24"/>
        </w:rPr>
        <w:t>Time &amp; Date: 4:00-5:30 Thursday 2 June 2016</w:t>
      </w:r>
    </w:p>
    <w:p w:rsidR="001521E5" w:rsidRDefault="001521E5" w:rsidP="001521E5">
      <w:pPr>
        <w:rPr>
          <w:rFonts w:ascii="Candara" w:hAnsi="Candara" w:cs="Times New Roman"/>
          <w:smallCaps/>
          <w:sz w:val="20"/>
          <w:szCs w:val="24"/>
        </w:rPr>
      </w:pPr>
    </w:p>
    <w:p w:rsidR="001521E5" w:rsidRPr="001521E5" w:rsidRDefault="001521E5" w:rsidP="001521E5">
      <w:pPr>
        <w:rPr>
          <w:rFonts w:ascii="Candara" w:hAnsi="Candara" w:cs="Times New Roman"/>
          <w:b/>
          <w:smallCaps/>
          <w:sz w:val="20"/>
          <w:szCs w:val="24"/>
        </w:rPr>
      </w:pPr>
      <w:r w:rsidRPr="001521E5">
        <w:rPr>
          <w:rFonts w:ascii="Candara" w:hAnsi="Candara" w:cs="Times New Roman"/>
          <w:b/>
          <w:smallCaps/>
          <w:sz w:val="20"/>
          <w:szCs w:val="24"/>
        </w:rPr>
        <w:t>Abstract:</w:t>
      </w:r>
    </w:p>
    <w:p w:rsidR="001521E5" w:rsidRDefault="001521E5" w:rsidP="001521E5">
      <w:pPr>
        <w:rPr>
          <w:rFonts w:ascii="Candara" w:hAnsi="Candara" w:cs="Times New Roman"/>
          <w:sz w:val="24"/>
          <w:szCs w:val="24"/>
        </w:rPr>
      </w:pPr>
    </w:p>
    <w:p w:rsidR="001521E5" w:rsidRDefault="001521E5" w:rsidP="001521E5">
      <w:pPr>
        <w:jc w:val="both"/>
        <w:rPr>
          <w:rFonts w:ascii="Candara" w:hAnsi="Candara" w:cs="Times New Roman"/>
          <w:sz w:val="24"/>
          <w:szCs w:val="24"/>
        </w:rPr>
      </w:pPr>
      <w:r w:rsidRPr="00963D87">
        <w:rPr>
          <w:rFonts w:ascii="Candara" w:hAnsi="Candara" w:cs="Times New Roman"/>
          <w:sz w:val="24"/>
          <w:szCs w:val="24"/>
        </w:rPr>
        <w:t>The long nineteenth century</w:t>
      </w:r>
      <w:r>
        <w:rPr>
          <w:rFonts w:ascii="Candara" w:hAnsi="Candara" w:cs="Times New Roman"/>
          <w:sz w:val="24"/>
          <w:szCs w:val="24"/>
        </w:rPr>
        <w:t xml:space="preserve"> (1789-1914) and the early inter-war period (1920-1937)</w:t>
      </w:r>
      <w:r w:rsidRPr="00963D87">
        <w:rPr>
          <w:rFonts w:ascii="Candara" w:hAnsi="Candara" w:cs="Times New Roman"/>
          <w:sz w:val="24"/>
          <w:szCs w:val="24"/>
        </w:rPr>
        <w:t xml:space="preserve"> saw the significant expansion of both Deptford in South East London and the market town of Dadaocheng in northern Taiwan. A factor that unites the two can arguably be found in the people who had resided in the two districts</w:t>
      </w:r>
      <w:r>
        <w:rPr>
          <w:rFonts w:ascii="Candara" w:hAnsi="Candara" w:cs="Times New Roman"/>
          <w:sz w:val="24"/>
          <w:szCs w:val="24"/>
        </w:rPr>
        <w:t xml:space="preserve"> during these</w:t>
      </w:r>
      <w:r w:rsidRPr="00963D87">
        <w:rPr>
          <w:rFonts w:ascii="Candara" w:hAnsi="Candara" w:cs="Times New Roman"/>
          <w:sz w:val="24"/>
          <w:szCs w:val="24"/>
        </w:rPr>
        <w:t xml:space="preserve"> period</w:t>
      </w:r>
      <w:r>
        <w:rPr>
          <w:rFonts w:ascii="Candara" w:hAnsi="Candara" w:cs="Times New Roman"/>
          <w:sz w:val="24"/>
          <w:szCs w:val="24"/>
        </w:rPr>
        <w:t>s</w:t>
      </w:r>
      <w:r w:rsidRPr="00963D87">
        <w:rPr>
          <w:rFonts w:ascii="Candara" w:hAnsi="Candara" w:cs="Times New Roman"/>
          <w:sz w:val="24"/>
          <w:szCs w:val="24"/>
        </w:rPr>
        <w:t xml:space="preserve">. </w:t>
      </w:r>
      <w:r>
        <w:rPr>
          <w:rFonts w:ascii="Candara" w:hAnsi="Candara" w:cs="Times New Roman"/>
          <w:sz w:val="24"/>
          <w:szCs w:val="24"/>
        </w:rPr>
        <w:t xml:space="preserve">The collective desire to shape an urban modern space that could fit to their aspirations transcended national boundaries. </w:t>
      </w:r>
      <w:r w:rsidRPr="00963D87">
        <w:rPr>
          <w:rFonts w:ascii="Candara" w:hAnsi="Candara" w:cs="Times New Roman"/>
          <w:sz w:val="24"/>
          <w:szCs w:val="24"/>
        </w:rPr>
        <w:t>Defined as “urban elite,” the more notable residents</w:t>
      </w:r>
      <w:r>
        <w:rPr>
          <w:rFonts w:ascii="Candara" w:hAnsi="Candara" w:cs="Times New Roman"/>
          <w:sz w:val="24"/>
          <w:szCs w:val="24"/>
        </w:rPr>
        <w:t xml:space="preserve"> were both globally situated and connected. They lived in a modernity that was self-defined and interpreted; one that was differentiated across a range of institutions: family life, economic and political structures, education, mass communication, and individual orientation. The purpose of this paper is to, therefore, argue that these arenas should be understood as a narrative of continual design and re-design. They were essentially marshalled by a rising new urban middle class. The fortunes that they acquired were contoured by their connections to the town they helped mould and transform. Using social elite theory, this paper will argue that if the social, economic, and political conditions across areas are similar, people will behave in comparable ways with only contextual differences.  Attention to this overlooked aspect of Taiwan social history is important in helping to situate the island in global comparisons. </w:t>
      </w:r>
    </w:p>
    <w:p w:rsidR="008D0CC0" w:rsidRDefault="008D0CC0"/>
    <w:sectPr w:rsidR="008D0C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EE"/>
    <w:family w:val="roman"/>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E5"/>
    <w:rsid w:val="001521E5"/>
    <w:rsid w:val="00351BC5"/>
    <w:rsid w:val="008D0CC0"/>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7B4B9-40FE-4642-8A81-E1B14FA4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E5"/>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1519</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alsford niki</dc:creator>
  <cp:keywords/>
  <dc:description/>
  <cp:lastModifiedBy>GOV</cp:lastModifiedBy>
  <cp:revision>2</cp:revision>
  <dcterms:created xsi:type="dcterms:W3CDTF">2016-05-25T11:06:00Z</dcterms:created>
  <dcterms:modified xsi:type="dcterms:W3CDTF">2016-05-25T11:06:00Z</dcterms:modified>
</cp:coreProperties>
</file>